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职业技能学习管理中心</w:t>
      </w:r>
      <w:bookmarkStart w:id="6" w:name="_GoBack"/>
      <w:bookmarkEnd w:id="6"/>
    </w:p>
    <w:p>
      <w:pPr>
        <w:jc w:val="center"/>
        <w:rPr>
          <w:rFonts w:hint="eastAsia"/>
          <w:sz w:val="28"/>
          <w:szCs w:val="36"/>
        </w:rPr>
      </w:pPr>
    </w:p>
    <w:p>
      <w:pPr>
        <w:ind w:firstLine="2800" w:firstLineChars="1000"/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职业</w:t>
      </w:r>
      <w:r>
        <w:rPr>
          <w:rFonts w:hint="eastAsia"/>
          <w:sz w:val="28"/>
          <w:szCs w:val="36"/>
          <w:lang w:eastAsia="zh-CN"/>
        </w:rPr>
        <w:t>人才</w:t>
      </w:r>
      <w:r>
        <w:rPr>
          <w:rFonts w:hint="eastAsia"/>
          <w:sz w:val="28"/>
          <w:szCs w:val="36"/>
        </w:rPr>
        <w:t>能力提升培训项目</w:t>
      </w:r>
    </w:p>
    <w:p>
      <w:pPr>
        <w:jc w:val="center"/>
        <w:rPr>
          <w:rFonts w:hint="eastAsia"/>
          <w:sz w:val="28"/>
          <w:szCs w:val="36"/>
        </w:rPr>
      </w:pP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×××××课程说明</w:t>
      </w:r>
    </w:p>
    <w:p>
      <w:pPr>
        <w:rPr>
          <w:rFonts w:hint="eastAsia"/>
          <w:sz w:val="28"/>
          <w:szCs w:val="36"/>
        </w:rPr>
      </w:pPr>
    </w:p>
    <w:p>
      <w:pPr>
        <w:pStyle w:val="4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_Toc14744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目  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_Toc14744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_Toc8994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一、课程体系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_Toc8994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_Toc13331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（一）课程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说明与</w:t>
      </w:r>
      <w:r>
        <w:rPr>
          <w:rFonts w:hint="eastAsia" w:ascii="仿宋" w:hAnsi="仿宋" w:eastAsia="仿宋" w:cs="仿宋"/>
          <w:sz w:val="28"/>
          <w:szCs w:val="28"/>
        </w:rPr>
        <w:t>目标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_Toc13331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_Toc2566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（二）培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训</w:t>
      </w:r>
      <w:r>
        <w:rPr>
          <w:rFonts w:hint="eastAsia" w:ascii="仿宋" w:hAnsi="仿宋" w:eastAsia="仿宋" w:cs="仿宋"/>
          <w:sz w:val="28"/>
          <w:szCs w:val="28"/>
        </w:rPr>
        <w:t>模式与教学方式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_Toc2566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_Toc22919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（三）课程内容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时间安排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_Toc22919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_Toc29669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二、教学大纲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_Toc29669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_Toc21337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（一）课程概述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_Toc21337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_Toc3523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_Toc3523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_Toc26343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三、考试介绍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_Toc26343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_Toc19015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（一）考试要求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_Toc19015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_Toc31728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（二）考试重点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_Toc31728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_Toc6917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 申报条件（分级别的需写明以下条件）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_Toc6917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_Toc2889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师资介绍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_Toc2889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一、课程体系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（一）课程说明与目标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1、课程说明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XXXX，主要是XXXXXXX，以XXXXXX……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2、课程目标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本培训体系教程为《××××》，旨在为。。。。。。。。。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该教程结合××××；同时，××××（例如：对应每一种疗法的具体技术的应用学习培训在有关章节中加以体现，其中包括主要方法的运用过程的逐一讲解，经典案例的分析，还有对应的思考、实践操作、自己练习的作业，还有配合学习的教学光盘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通过本课程的学习，使学员通过基础知识和实例相结合的学习方法，深入全面地了解、掌握××××课程，为建设和谐社会培养一大批优秀的××××。总体上，××××。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bookmarkStart w:id="0" w:name="_Toc229472022"/>
      <w:bookmarkStart w:id="1" w:name="_Toc2566"/>
      <w:bookmarkStart w:id="2" w:name="_Toc160441891"/>
      <w:r>
        <w:rPr>
          <w:rFonts w:hint="eastAsia" w:ascii="仿宋" w:hAnsi="仿宋" w:eastAsia="仿宋" w:cs="仿宋"/>
          <w:sz w:val="28"/>
          <w:szCs w:val="28"/>
        </w:rPr>
        <w:t>（二）培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训</w:t>
      </w:r>
      <w:r>
        <w:rPr>
          <w:rFonts w:hint="eastAsia" w:ascii="仿宋" w:hAnsi="仿宋" w:eastAsia="仿宋" w:cs="仿宋"/>
          <w:sz w:val="28"/>
          <w:szCs w:val="28"/>
        </w:rPr>
        <w:t>模式与教学方式</w:t>
      </w:r>
      <w:bookmarkEnd w:id="0"/>
      <w:bookmarkEnd w:id="1"/>
      <w:bookmarkEnd w:id="2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</w:rPr>
        <w:t>模式：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××××××××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教学方式：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××××××××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bookmarkStart w:id="3" w:name="_Toc229472024"/>
      <w:bookmarkStart w:id="4" w:name="_Toc160441893"/>
      <w:bookmarkStart w:id="5" w:name="_Toc22919"/>
      <w:r>
        <w:rPr>
          <w:rFonts w:hint="eastAsia" w:ascii="仿宋" w:hAnsi="仿宋" w:eastAsia="仿宋" w:cs="仿宋"/>
          <w:sz w:val="28"/>
          <w:szCs w:val="28"/>
        </w:rPr>
        <w:t>（三）课程内容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时间安排</w:t>
      </w:r>
      <w:bookmarkEnd w:id="3"/>
      <w:bookmarkEnd w:id="4"/>
      <w:bookmarkEnd w:id="5"/>
    </w:p>
    <w:tbl>
      <w:tblPr>
        <w:tblStyle w:val="6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176"/>
        <w:gridCol w:w="936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417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课程内容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总课时数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理论学时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36" w:type="dxa"/>
            <w:vMerge w:val="restart"/>
            <w:textDirection w:val="tbRlV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基础课程：××××理论部分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现实焦点：××××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、××××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技术能力部分：××××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实操案例部分：××××个案解决技术的应用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合计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ab/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二、教学大纲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（一）课程概述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1、适用专业：××××××××。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   课程对象：××××××××××××等。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2、课程目标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……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（二）课程内容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例如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XXXX概论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XXXX基础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XXXX技巧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……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三、考试介绍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（一）考试要求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例如：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1、考试采用在线考试或密闭试卷考试两种形式，教学基地统一组织； 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2、项目考核采取100分制，60分理论考试，40分实操考核，总成绩达60分及以上者为合格。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3、教学基地须通过MIS 系统上报学员信息。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4、教学基地须提交学员信息：学员照片（*.jpg格式，分辨率为300，照片为小二寸，宽度*高度 3.5*4.5cm，412*531像素，并以学员姓名命名）、身份证号码、联系电话和电子信箱等基本信息要真实有效。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5、教学基地必须严肃考风考纪，不得有任何徇私舞弊现象，项目管理办公室进行远程监控或现场检查。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6、对于参加培训，但考核未通过的学员，教学基地须提供两次免费补考的机会。 第三次以后的补考收费不能超过学员培训费的10%。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7、教学基地禁止买卖证书，或不培训不考试而为学员颁发证书。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8、上机考试采用在线考试系统进行考试，在规定时间内完成规定的考试。详细考试系统说明见《考试系统说明手册》。（可附考试登录界面截图）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（二）考试重点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例如：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XXXX概论（10%）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XXXX基础（10%）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XXXX设计（20%）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XXXX技法（20%）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XXXX应用（20%）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XXXX礼仪（10%）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XXXX从业指导（10%）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……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（三）申报条件（分级别的需写明以下条件）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例如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初级申请条件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3、××××××××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中级申请条件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  2、××××××××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3、××××××××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高级申请条件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××××××××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××××××××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四、师资介绍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姓名：XXX师，主要工作经历、取得成就、获得的荣誉、担任的具有影响力的职位、教学风格等 。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743AF"/>
    <w:rsid w:val="004232DC"/>
    <w:rsid w:val="3A7743AF"/>
    <w:rsid w:val="4D3E3B10"/>
    <w:rsid w:val="70680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  <w:szCs w:val="24"/>
    </w:rPr>
  </w:style>
  <w:style w:type="paragraph" w:customStyle="1" w:styleId="8">
    <w:name w:val="正文说明文字"/>
    <w:basedOn w:val="3"/>
    <w:qFormat/>
    <w:uiPriority w:val="0"/>
    <w:pPr>
      <w:tabs>
        <w:tab w:val="left" w:pos="210"/>
      </w:tabs>
      <w:adjustRightInd w:val="0"/>
      <w:spacing w:before="93" w:beforeLines="30" w:after="93" w:afterLines="30" w:line="360" w:lineRule="exact"/>
      <w:ind w:left="630" w:leftChars="100" w:right="210" w:rightChars="100" w:firstLine="0" w:firstLineChars="0"/>
    </w:pPr>
    <w:rPr>
      <w:rFonts w:ascii="Times New Roman" w:hAnsi="Times New Roman"/>
      <w:color w:val="000000"/>
      <w:kern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2018-04-08T06:06:00Z</dcterms:created>
  <dc:creator>apple</dc:creator>
  <cp:lastModifiedBy>职业技能学习管理中心</cp:lastModifiedBy>
  <dcterms:modified xsi:type="dcterms:W3CDTF">2019-10-17T01:06:01Z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